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6C1A" w14:textId="746ABBF7" w:rsidR="0002757D" w:rsidRPr="002A452A" w:rsidRDefault="00FB701A" w:rsidP="001F702E">
      <w:pPr>
        <w:spacing w:line="300" w:lineRule="exact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FB701A">
        <w:rPr>
          <w:b/>
          <w:sz w:val="30"/>
          <w:szCs w:val="30"/>
        </w:rPr>
        <w:t xml:space="preserve">Об отметках в графах 3 и 20 </w:t>
      </w:r>
      <w:r w:rsidRPr="00FB701A">
        <w:rPr>
          <w:b/>
          <w:sz w:val="30"/>
          <w:szCs w:val="30"/>
          <w:lang w:val="en-US"/>
        </w:rPr>
        <w:t>CMR</w:t>
      </w:r>
      <w:r w:rsidRPr="00FB701A">
        <w:rPr>
          <w:b/>
          <w:sz w:val="30"/>
          <w:szCs w:val="30"/>
        </w:rPr>
        <w:t xml:space="preserve">-накладной </w:t>
      </w:r>
      <w:r w:rsidR="002A452A">
        <w:rPr>
          <w:b/>
          <w:bCs/>
          <w:sz w:val="30"/>
          <w:szCs w:val="30"/>
        </w:rPr>
        <w:t>(письмо МНС от</w:t>
      </w:r>
      <w:r w:rsidR="002A452A">
        <w:rPr>
          <w:b/>
          <w:bCs/>
          <w:sz w:val="30"/>
          <w:szCs w:val="30"/>
          <w:lang w:val="en-US"/>
        </w:rPr>
        <w:t> </w:t>
      </w:r>
      <w:r>
        <w:rPr>
          <w:b/>
          <w:bCs/>
          <w:sz w:val="30"/>
          <w:szCs w:val="30"/>
        </w:rPr>
        <w:t>08.04.2026</w:t>
      </w:r>
      <w:r w:rsidR="0002757D" w:rsidRPr="0002757D">
        <w:rPr>
          <w:b/>
          <w:bCs/>
          <w:sz w:val="30"/>
          <w:szCs w:val="30"/>
        </w:rPr>
        <w:t xml:space="preserve"> № 2-1-13/0</w:t>
      </w:r>
      <w:r>
        <w:rPr>
          <w:b/>
          <w:bCs/>
          <w:sz w:val="30"/>
          <w:szCs w:val="30"/>
        </w:rPr>
        <w:t>1275</w:t>
      </w:r>
      <w:r w:rsidR="0002757D" w:rsidRPr="0002757D">
        <w:rPr>
          <w:b/>
          <w:bCs/>
          <w:sz w:val="30"/>
          <w:szCs w:val="30"/>
        </w:rPr>
        <w:t>)</w:t>
      </w:r>
    </w:p>
    <w:p w14:paraId="050A5D48" w14:textId="77777777" w:rsidR="0002757D" w:rsidRDefault="0002757D" w:rsidP="0002757D">
      <w:pPr>
        <w:spacing w:line="360" w:lineRule="auto"/>
        <w:ind w:firstLine="709"/>
        <w:jc w:val="both"/>
        <w:rPr>
          <w:sz w:val="30"/>
          <w:szCs w:val="30"/>
        </w:rPr>
      </w:pPr>
    </w:p>
    <w:p w14:paraId="0151A442" w14:textId="227010A0" w:rsidR="009D6A97" w:rsidRDefault="009D6A97" w:rsidP="009D6A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242424"/>
          <w:sz w:val="30"/>
          <w:szCs w:val="30"/>
          <w:lang w:eastAsia="en-US"/>
        </w:rPr>
      </w:pPr>
      <w:r w:rsidRPr="009D6A97">
        <w:rPr>
          <w:rFonts w:eastAsiaTheme="minorHAnsi"/>
          <w:color w:val="242424"/>
          <w:sz w:val="30"/>
          <w:szCs w:val="30"/>
          <w:lang w:eastAsia="en-US"/>
        </w:rPr>
        <w:t>В соответствии с нормой абзаца седьмого части второй пункта 2 статьи 126 Налогового кодекса Республики Беларусь (далее - НК) одним из обязательных условий для применения ставки НДС в размере ноль (0) процентов является наличие оформленного единого международного товарно-транспортного документа (его копии) (далее -</w:t>
      </w:r>
      <w:r w:rsidRPr="009D6A97">
        <w:rPr>
          <w:rFonts w:eastAsiaTheme="minorHAnsi"/>
          <w:sz w:val="30"/>
          <w:szCs w:val="30"/>
          <w:lang w:eastAsia="en-US"/>
        </w:rPr>
        <w:t xml:space="preserve"> CMR-накладная</w:t>
      </w:r>
      <w:r w:rsidRPr="009D6A97">
        <w:rPr>
          <w:rFonts w:eastAsiaTheme="minorHAnsi"/>
          <w:color w:val="242424"/>
          <w:sz w:val="30"/>
          <w:szCs w:val="30"/>
          <w:lang w:eastAsia="en-US"/>
        </w:rPr>
        <w:t xml:space="preserve">), который содержит в том числе дату получения груза грузополучателем или иным уполномоченным на получение груза лицом, удостоверенную им при </w:t>
      </w:r>
      <w:r w:rsidRPr="009D6A97">
        <w:rPr>
          <w:rFonts w:eastAsiaTheme="minorHAnsi"/>
          <w:color w:val="242424"/>
          <w:sz w:val="30"/>
          <w:szCs w:val="30"/>
          <w:u w:val="single"/>
          <w:lang w:eastAsia="en-US"/>
        </w:rPr>
        <w:t>завершении международной автомобильной перевозки груза.</w:t>
      </w:r>
      <w:r w:rsidRPr="009D6A97">
        <w:rPr>
          <w:rFonts w:eastAsiaTheme="minorHAnsi"/>
          <w:color w:val="242424"/>
          <w:sz w:val="30"/>
          <w:szCs w:val="30"/>
          <w:lang w:eastAsia="en-US"/>
        </w:rPr>
        <w:t xml:space="preserve"> Под иным уполномоченным на получение груза лицом понимается также лицо, местонахождение которого соответствует месту разгрузки груза, указанному в графе 3 «Место разгрузки груза» </w:t>
      </w:r>
      <w:r w:rsidRPr="009D6A97">
        <w:rPr>
          <w:rFonts w:eastAsiaTheme="minorHAnsi"/>
          <w:sz w:val="30"/>
          <w:szCs w:val="30"/>
          <w:lang w:eastAsia="en-US"/>
        </w:rPr>
        <w:t>CMR-накладной</w:t>
      </w:r>
      <w:r w:rsidRPr="009D6A97">
        <w:rPr>
          <w:rFonts w:eastAsiaTheme="minorHAnsi"/>
          <w:color w:val="242424"/>
          <w:sz w:val="30"/>
          <w:szCs w:val="30"/>
          <w:lang w:eastAsia="en-US"/>
        </w:rPr>
        <w:t>.</w:t>
      </w:r>
    </w:p>
    <w:p w14:paraId="152013A7" w14:textId="00817427" w:rsidR="009D6A97" w:rsidRPr="009D6A97" w:rsidRDefault="009D6A97" w:rsidP="009D6A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242424"/>
          <w:sz w:val="30"/>
          <w:szCs w:val="30"/>
          <w:lang w:eastAsia="en-US"/>
        </w:rPr>
      </w:pPr>
      <w:r w:rsidRPr="009D6A97">
        <w:rPr>
          <w:rFonts w:eastAsiaTheme="minorHAnsi"/>
          <w:i/>
          <w:color w:val="242424"/>
          <w:sz w:val="30"/>
          <w:szCs w:val="30"/>
          <w:lang w:eastAsia="en-US"/>
        </w:rPr>
        <w:t xml:space="preserve"> </w:t>
      </w:r>
      <w:proofErr w:type="spellStart"/>
      <w:r w:rsidRPr="009D6A97">
        <w:rPr>
          <w:rFonts w:eastAsiaTheme="minorHAnsi"/>
          <w:i/>
          <w:color w:val="242424"/>
          <w:sz w:val="30"/>
          <w:szCs w:val="30"/>
          <w:lang w:eastAsia="en-US"/>
        </w:rPr>
        <w:t>Справочно</w:t>
      </w:r>
      <w:proofErr w:type="spellEnd"/>
      <w:r w:rsidRPr="009D6A97">
        <w:rPr>
          <w:rFonts w:eastAsiaTheme="minorHAnsi"/>
          <w:i/>
          <w:color w:val="242424"/>
          <w:sz w:val="30"/>
          <w:szCs w:val="30"/>
          <w:lang w:eastAsia="en-US"/>
        </w:rPr>
        <w:t xml:space="preserve">. </w:t>
      </w:r>
      <w:r w:rsidRPr="009D6A97">
        <w:rPr>
          <w:rFonts w:eastAsiaTheme="minorHAnsi"/>
          <w:i/>
          <w:sz w:val="30"/>
          <w:szCs w:val="30"/>
          <w:lang w:eastAsia="en-US"/>
        </w:rPr>
        <w:t xml:space="preserve">Как следует из пунктов 1 и 2 статьи 145, пунктов 1 и 2 статьи 151 </w:t>
      </w:r>
      <w:hyperlink r:id="rId6" w:history="1">
        <w:r w:rsidRPr="009D6A97">
          <w:rPr>
            <w:rFonts w:eastAsiaTheme="minorHAnsi"/>
            <w:i/>
            <w:sz w:val="30"/>
            <w:szCs w:val="30"/>
            <w:lang w:eastAsia="en-US"/>
          </w:rPr>
          <w:t>Договор</w:t>
        </w:r>
      </w:hyperlink>
      <w:r w:rsidRPr="009D6A97">
        <w:rPr>
          <w:rFonts w:eastAsiaTheme="minorHAnsi"/>
          <w:i/>
          <w:sz w:val="30"/>
          <w:szCs w:val="30"/>
          <w:lang w:eastAsia="en-US"/>
        </w:rPr>
        <w:t xml:space="preserve">а о Таможенном кодексе Евразийского экономического союза (далее - Таможенный кодекс) </w:t>
      </w:r>
      <w:r w:rsidRPr="009D6A97">
        <w:rPr>
          <w:rFonts w:eastAsiaTheme="minorHAnsi"/>
          <w:i/>
          <w:sz w:val="30"/>
          <w:szCs w:val="30"/>
          <w:u w:val="single"/>
          <w:lang w:eastAsia="en-US"/>
        </w:rPr>
        <w:t>на основании сведений о пункте назначения, указанных в транспортных (перевозочных) документах, определяется место,</w:t>
      </w:r>
      <w:r w:rsidRPr="009D6A97">
        <w:rPr>
          <w:rFonts w:eastAsiaTheme="minorHAnsi"/>
          <w:i/>
          <w:sz w:val="30"/>
          <w:szCs w:val="30"/>
          <w:lang w:eastAsia="en-US"/>
        </w:rPr>
        <w:t xml:space="preserve"> куда должны быть доставлены товары, помещаемые под таможенную процедуру таможенного транзита (далее- место доставки товаров). Местом доставки товаров является </w:t>
      </w:r>
      <w:hyperlink r:id="rId7" w:history="1">
        <w:r w:rsidRPr="009D6A97">
          <w:rPr>
            <w:rFonts w:eastAsiaTheme="minorHAnsi"/>
            <w:i/>
            <w:sz w:val="30"/>
            <w:szCs w:val="30"/>
            <w:lang w:eastAsia="en-US"/>
          </w:rPr>
          <w:t>зона</w:t>
        </w:r>
      </w:hyperlink>
      <w:r w:rsidRPr="009D6A97">
        <w:rPr>
          <w:rFonts w:eastAsiaTheme="minorHAnsi"/>
          <w:i/>
          <w:sz w:val="30"/>
          <w:szCs w:val="30"/>
          <w:lang w:eastAsia="en-US"/>
        </w:rPr>
        <w:t xml:space="preserve"> таможенного контроля, где размещаются товары до завершения действия таможенной процедуры таможенного транзита.</w:t>
      </w:r>
    </w:p>
    <w:p w14:paraId="0A9EB9E0" w14:textId="77777777" w:rsidR="009D6A97" w:rsidRPr="009D6A97" w:rsidRDefault="009D6A97" w:rsidP="009D6A97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9D6A97">
        <w:rPr>
          <w:rFonts w:eastAsiaTheme="minorHAnsi"/>
          <w:i/>
          <w:sz w:val="30"/>
          <w:szCs w:val="30"/>
          <w:lang w:eastAsia="en-US"/>
        </w:rPr>
        <w:t xml:space="preserve">Согласно статье 319 Таможенного кодекса зонами таможенного контроля являются в том числе территории складов временного хранения (далее – СВХ).  </w:t>
      </w:r>
    </w:p>
    <w:p w14:paraId="064D6F71" w14:textId="77777777" w:rsidR="009D6A97" w:rsidRPr="009D6A97" w:rsidRDefault="009D6A97" w:rsidP="009D6A97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9D6A97">
        <w:rPr>
          <w:rFonts w:eastAsiaTheme="minorHAnsi"/>
          <w:i/>
          <w:sz w:val="30"/>
          <w:szCs w:val="30"/>
          <w:lang w:eastAsia="en-US"/>
        </w:rPr>
        <w:t xml:space="preserve">Как правило, указания грузоотправителя о наименовании, адресе и других реквизитах таможни, где будут совершаться таможенные операции, содержатся в графе 13 «Указания отправителя (таможенная и прочая обработка)» CMR-накладной. </w:t>
      </w:r>
    </w:p>
    <w:p w14:paraId="768E3199" w14:textId="77777777" w:rsidR="009D6A97" w:rsidRPr="009D6A97" w:rsidRDefault="009D6A97" w:rsidP="009D6A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242424"/>
          <w:sz w:val="30"/>
          <w:szCs w:val="30"/>
          <w:lang w:eastAsia="en-US"/>
        </w:rPr>
      </w:pPr>
      <w:r w:rsidRPr="009D6A97">
        <w:rPr>
          <w:rFonts w:eastAsiaTheme="minorHAnsi"/>
          <w:color w:val="242424"/>
          <w:sz w:val="30"/>
          <w:szCs w:val="30"/>
          <w:lang w:eastAsia="en-US"/>
        </w:rPr>
        <w:t xml:space="preserve">Соответственно, в отношении перевозок грузов, указанных в частях второй, третьей пункта 2 статьи 126 НК, основания для применения ставки НДС в размере ноль (0) процентов возникают при завершении международной перевозки в целом, а не при выполнении ее части по территории Республики Беларусь и выгрузке груза на СВХ, расположенных в зонах таможенного контроля, </w:t>
      </w:r>
      <w:r w:rsidRPr="00AC5053">
        <w:rPr>
          <w:rFonts w:eastAsiaTheme="minorHAnsi"/>
          <w:color w:val="242424"/>
          <w:sz w:val="30"/>
          <w:szCs w:val="30"/>
          <w:u w:val="single"/>
          <w:lang w:eastAsia="en-US"/>
        </w:rPr>
        <w:t>указанных в графах 3 «Место разгрузки груза» и 13 «Указания отправителя (таможенная и прочая обработка)» CMR-накладных,</w:t>
      </w:r>
      <w:r w:rsidRPr="009D6A97">
        <w:rPr>
          <w:rFonts w:eastAsiaTheme="minorHAnsi"/>
          <w:color w:val="242424"/>
          <w:sz w:val="30"/>
          <w:szCs w:val="30"/>
          <w:lang w:eastAsia="en-US"/>
        </w:rPr>
        <w:t xml:space="preserve"> для осуществления заявленной таможенной </w:t>
      </w:r>
      <w:hyperlink r:id="rId8" w:history="1">
        <w:r w:rsidRPr="009D6A97">
          <w:rPr>
            <w:rFonts w:eastAsiaTheme="minorHAnsi"/>
            <w:color w:val="242424"/>
            <w:sz w:val="30"/>
            <w:szCs w:val="30"/>
            <w:lang w:eastAsia="en-US"/>
          </w:rPr>
          <w:t>процедуры</w:t>
        </w:r>
      </w:hyperlink>
      <w:r w:rsidRPr="009D6A97">
        <w:rPr>
          <w:rFonts w:eastAsiaTheme="minorHAnsi"/>
          <w:color w:val="242424"/>
          <w:sz w:val="30"/>
          <w:szCs w:val="30"/>
          <w:lang w:eastAsia="en-US"/>
        </w:rPr>
        <w:t xml:space="preserve"> либо для совершения иных действий. </w:t>
      </w:r>
    </w:p>
    <w:p w14:paraId="64EECF7E" w14:textId="77777777" w:rsidR="009D6A97" w:rsidRPr="009D6A97" w:rsidRDefault="009D6A97" w:rsidP="009D6A97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color w:val="242424"/>
          <w:sz w:val="30"/>
          <w:szCs w:val="30"/>
          <w:lang w:eastAsia="en-US"/>
        </w:rPr>
      </w:pPr>
      <w:proofErr w:type="spellStart"/>
      <w:r w:rsidRPr="009D6A97">
        <w:rPr>
          <w:rFonts w:eastAsiaTheme="minorHAnsi"/>
          <w:i/>
          <w:sz w:val="30"/>
          <w:szCs w:val="30"/>
          <w:lang w:eastAsia="en-US"/>
        </w:rPr>
        <w:t>Справочно</w:t>
      </w:r>
      <w:proofErr w:type="spellEnd"/>
      <w:r w:rsidRPr="009D6A97">
        <w:rPr>
          <w:rFonts w:eastAsiaTheme="minorHAnsi"/>
          <w:i/>
          <w:sz w:val="30"/>
          <w:szCs w:val="30"/>
          <w:lang w:eastAsia="en-US"/>
        </w:rPr>
        <w:t xml:space="preserve">. </w:t>
      </w:r>
      <w:r w:rsidRPr="009D6A97">
        <w:rPr>
          <w:rFonts w:eastAsiaTheme="minorHAnsi"/>
          <w:i/>
          <w:color w:val="242424"/>
          <w:sz w:val="30"/>
          <w:szCs w:val="30"/>
          <w:lang w:eastAsia="en-US"/>
        </w:rPr>
        <w:t xml:space="preserve">Министерством транспорта и коммуникаций Республики Беларусь разъяснено, что в случае, когда международная перевозка начинается с территории иностранных государств, указание в </w:t>
      </w:r>
      <w:r w:rsidRPr="009D6A97">
        <w:rPr>
          <w:rFonts w:eastAsiaTheme="minorHAnsi"/>
          <w:i/>
          <w:color w:val="242424"/>
          <w:sz w:val="30"/>
          <w:szCs w:val="30"/>
          <w:lang w:eastAsia="en-US"/>
        </w:rPr>
        <w:lastRenderedPageBreak/>
        <w:t>графе 3 «Место разгрузки груза» CMR-накладной в качестве мест разгрузки перевозимых грузов территорий СВХ не противоречит порядку заполнения CMR-накладных, определяемому Конвенцией о договоре международной дорожной перевозки грузов (КДПГ), принятой в г. Женеве 19 мая 1956 г. (далее - Конвенция). В таком случае и учитывая положения пункта 3 статьи 6 Конвенции договаривающиеся Стороны могут внести в CMR-накладную любые указания, которые они посчитают необходимыми.</w:t>
      </w:r>
    </w:p>
    <w:p w14:paraId="551809A1" w14:textId="77777777" w:rsidR="009D6A97" w:rsidRPr="009D6A97" w:rsidRDefault="009D6A97" w:rsidP="009D6A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D6A97">
        <w:rPr>
          <w:rFonts w:eastAsiaTheme="minorHAnsi"/>
          <w:sz w:val="30"/>
          <w:szCs w:val="30"/>
          <w:lang w:eastAsia="en-US"/>
        </w:rPr>
        <w:t>З</w:t>
      </w:r>
      <w:r w:rsidRPr="009D6A97">
        <w:rPr>
          <w:rFonts w:eastAsiaTheme="minorHAnsi"/>
          <w:color w:val="242424"/>
          <w:sz w:val="30"/>
          <w:szCs w:val="30"/>
          <w:lang w:eastAsia="en-US"/>
        </w:rPr>
        <w:t xml:space="preserve">авершение международной перевозки должно подтверждаться оформленной CMR-накладной, содержащей, в том числе дату получения груза грузополучателем или иным уполномоченным на получение груза лицом, которая указывается </w:t>
      </w:r>
      <w:r w:rsidRPr="009D6A97">
        <w:rPr>
          <w:rFonts w:eastAsiaTheme="minorHAnsi"/>
          <w:sz w:val="30"/>
          <w:szCs w:val="30"/>
          <w:lang w:eastAsia="en-US"/>
        </w:rPr>
        <w:t>в графе 24 «Груз получен» CMR-накладной</w:t>
      </w:r>
      <w:r w:rsidRPr="009D6A97">
        <w:rPr>
          <w:rStyle w:val="aa"/>
          <w:rFonts w:eastAsiaTheme="minorHAnsi"/>
          <w:sz w:val="30"/>
          <w:szCs w:val="30"/>
          <w:lang w:eastAsia="en-US"/>
        </w:rPr>
        <w:footnoteReference w:id="1"/>
      </w:r>
      <w:r w:rsidRPr="009D6A97">
        <w:rPr>
          <w:rFonts w:eastAsiaTheme="minorHAnsi"/>
          <w:sz w:val="30"/>
          <w:szCs w:val="30"/>
          <w:lang w:eastAsia="en-US"/>
        </w:rPr>
        <w:t xml:space="preserve">. Не является таковой дата, проставленная в графе 20 «Особые согласованные условия» CMR-накладной представителем СВХ, указанного в графе 3 </w:t>
      </w:r>
      <w:r w:rsidRPr="009D6A97">
        <w:rPr>
          <w:rFonts w:eastAsiaTheme="minorHAnsi"/>
          <w:color w:val="242424"/>
          <w:sz w:val="30"/>
          <w:szCs w:val="30"/>
          <w:lang w:eastAsia="en-US"/>
        </w:rPr>
        <w:t xml:space="preserve">«Место разгрузки груза» </w:t>
      </w:r>
      <w:r w:rsidRPr="009D6A97">
        <w:rPr>
          <w:rFonts w:eastAsiaTheme="minorHAnsi"/>
          <w:sz w:val="30"/>
          <w:szCs w:val="30"/>
          <w:lang w:eastAsia="en-US"/>
        </w:rPr>
        <w:t>CMR-накладной</w:t>
      </w:r>
      <w:r w:rsidRPr="009D6A97">
        <w:rPr>
          <w:rFonts w:eastAsiaTheme="minorHAnsi"/>
          <w:color w:val="242424"/>
          <w:sz w:val="30"/>
          <w:szCs w:val="30"/>
          <w:lang w:eastAsia="en-US"/>
        </w:rPr>
        <w:t>.</w:t>
      </w:r>
      <w:r w:rsidRPr="009D6A97">
        <w:rPr>
          <w:rFonts w:eastAsiaTheme="minorHAnsi"/>
          <w:sz w:val="30"/>
          <w:szCs w:val="30"/>
          <w:lang w:eastAsia="en-US"/>
        </w:rPr>
        <w:t xml:space="preserve"> </w:t>
      </w:r>
    </w:p>
    <w:p w14:paraId="0BEABB1C" w14:textId="169A3AFA" w:rsidR="0002757D" w:rsidRDefault="009D6A97" w:rsidP="009D6A97">
      <w:pPr>
        <w:ind w:firstLine="709"/>
        <w:jc w:val="both"/>
        <w:rPr>
          <w:rFonts w:eastAsiaTheme="minorHAnsi"/>
          <w:color w:val="242424"/>
          <w:sz w:val="30"/>
          <w:szCs w:val="30"/>
          <w:lang w:eastAsia="en-US"/>
        </w:rPr>
      </w:pPr>
      <w:r w:rsidRPr="009D6A97">
        <w:rPr>
          <w:rFonts w:eastAsiaTheme="minorHAnsi"/>
          <w:color w:val="242424"/>
          <w:sz w:val="30"/>
          <w:szCs w:val="30"/>
          <w:lang w:eastAsia="en-US"/>
        </w:rPr>
        <w:t>Таким образом, при невыполнении одного из условий, установленных абзацами вторым - седьмым части второй пункта 2 статьи 126 НК</w:t>
      </w:r>
      <w:r w:rsidR="00D15736">
        <w:rPr>
          <w:rFonts w:eastAsiaTheme="minorHAnsi"/>
          <w:color w:val="242424"/>
          <w:sz w:val="30"/>
          <w:szCs w:val="30"/>
          <w:lang w:eastAsia="en-US"/>
        </w:rPr>
        <w:br/>
      </w:r>
      <w:r w:rsidRPr="009D6A97">
        <w:rPr>
          <w:rFonts w:eastAsiaTheme="minorHAnsi"/>
          <w:color w:val="242424"/>
          <w:sz w:val="30"/>
          <w:szCs w:val="30"/>
          <w:lang w:eastAsia="en-US"/>
        </w:rPr>
        <w:t>(в частности, если CMR-накладная не содержит дату получения груза грузополучателем или иным уполномоченным на получение груза лицом), услуга по перевозке не признается экспортируемой транспортной услугой и основания для применения ставки НДС в размере ноль (0) процентов отсутствуют.</w:t>
      </w:r>
    </w:p>
    <w:p w14:paraId="4B0C7130" w14:textId="77777777" w:rsidR="009D6A97" w:rsidRPr="009D6A97" w:rsidRDefault="009D6A97" w:rsidP="009D6A97">
      <w:pPr>
        <w:spacing w:line="360" w:lineRule="auto"/>
        <w:ind w:firstLine="709"/>
        <w:jc w:val="both"/>
        <w:rPr>
          <w:sz w:val="30"/>
          <w:szCs w:val="30"/>
        </w:rPr>
      </w:pPr>
    </w:p>
    <w:p w14:paraId="6404F774" w14:textId="77777777" w:rsidR="0002757D" w:rsidRDefault="0002757D" w:rsidP="0002757D">
      <w:pPr>
        <w:jc w:val="both"/>
        <w:rPr>
          <w:sz w:val="18"/>
          <w:szCs w:val="18"/>
        </w:rPr>
      </w:pPr>
    </w:p>
    <w:p w14:paraId="2D960DFC" w14:textId="77777777" w:rsidR="0002757D" w:rsidRDefault="0002757D" w:rsidP="0002757D">
      <w:pPr>
        <w:jc w:val="both"/>
        <w:rPr>
          <w:sz w:val="18"/>
          <w:szCs w:val="18"/>
        </w:rPr>
      </w:pPr>
    </w:p>
    <w:p w14:paraId="598A28A9" w14:textId="77777777" w:rsidR="0029710B" w:rsidRDefault="0029710B" w:rsidP="0002757D">
      <w:pPr>
        <w:ind w:firstLine="708"/>
        <w:jc w:val="both"/>
      </w:pPr>
    </w:p>
    <w:sectPr w:rsidR="0029710B" w:rsidSect="00B32D14">
      <w:headerReference w:type="even" r:id="rId9"/>
      <w:headerReference w:type="default" r:id="rId10"/>
      <w:type w:val="continuous"/>
      <w:pgSz w:w="11906" w:h="16838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93E1A" w14:textId="77777777" w:rsidR="002E0539" w:rsidRDefault="002E0539">
      <w:r>
        <w:separator/>
      </w:r>
    </w:p>
  </w:endnote>
  <w:endnote w:type="continuationSeparator" w:id="0">
    <w:p w14:paraId="57FEFEB3" w14:textId="77777777" w:rsidR="002E0539" w:rsidRDefault="002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AC72C" w14:textId="77777777" w:rsidR="002E0539" w:rsidRDefault="002E0539">
      <w:r>
        <w:separator/>
      </w:r>
    </w:p>
  </w:footnote>
  <w:footnote w:type="continuationSeparator" w:id="0">
    <w:p w14:paraId="74F3D307" w14:textId="77777777" w:rsidR="002E0539" w:rsidRDefault="002E0539">
      <w:r>
        <w:continuationSeparator/>
      </w:r>
    </w:p>
  </w:footnote>
  <w:footnote w:id="1">
    <w:p w14:paraId="3A33CAAC" w14:textId="08E8A82D" w:rsidR="009D6A97" w:rsidRPr="00651BF1" w:rsidRDefault="009D6A97" w:rsidP="009D6A97">
      <w:pPr>
        <w:pStyle w:val="af0"/>
        <w:jc w:val="both"/>
        <w:rPr>
          <w:sz w:val="22"/>
          <w:szCs w:val="22"/>
        </w:rPr>
      </w:pPr>
      <w:r>
        <w:t xml:space="preserve">         </w:t>
      </w:r>
      <w:r>
        <w:rPr>
          <w:rStyle w:val="aa"/>
        </w:rPr>
        <w:footnoteRef/>
      </w:r>
      <w:r>
        <w:t xml:space="preserve"> </w:t>
      </w:r>
      <w:r w:rsidRPr="00651BF1">
        <w:rPr>
          <w:rFonts w:eastAsiaTheme="minorHAnsi"/>
          <w:sz w:val="22"/>
          <w:szCs w:val="22"/>
          <w:lang w:eastAsia="en-US"/>
        </w:rPr>
        <w:t>письмо Министерства транспорта и коммуникаций Республики Беларусь, Министерства по налогам и сборам Республики Беларусь от 06.06.2022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651BF1">
        <w:rPr>
          <w:rFonts w:eastAsiaTheme="minorHAnsi"/>
          <w:sz w:val="22"/>
          <w:szCs w:val="22"/>
          <w:lang w:eastAsia="en-US"/>
        </w:rPr>
        <w:t>№ 03-01-03/4966/2-1-10/03406</w:t>
      </w:r>
      <w:r w:rsidR="001B6009">
        <w:rPr>
          <w:rFonts w:eastAsiaTheme="minorHAnsi"/>
          <w:sz w:val="22"/>
          <w:szCs w:val="22"/>
          <w:lang w:eastAsia="en-US"/>
        </w:rPr>
        <w:br/>
      </w:r>
      <w:r w:rsidRPr="00651BF1">
        <w:rPr>
          <w:rFonts w:eastAsiaTheme="minorHAnsi"/>
          <w:sz w:val="22"/>
          <w:szCs w:val="22"/>
          <w:lang w:eastAsia="en-US"/>
        </w:rPr>
        <w:t>«О налогообложении НДС услуг по международной перевозке грузов автомобильным транспортом».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2E05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200717C6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CC1">
      <w:rPr>
        <w:rStyle w:val="a5"/>
        <w:noProof/>
      </w:rPr>
      <w:t>3</w:t>
    </w:r>
    <w:r>
      <w:rPr>
        <w:rStyle w:val="a5"/>
      </w:rPr>
      <w:fldChar w:fldCharType="end"/>
    </w:r>
  </w:p>
  <w:p w14:paraId="6769FC1C" w14:textId="77777777" w:rsidR="00B64D90" w:rsidRDefault="002E05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29B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0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918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0539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2CC1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2D14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3B54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E7D39DC36723676D848FC8E99AA3F4BFDD7CDBC45DD7EC8323BB0581759A53FBC2483E3386FB0BAAD868BC65DBB03F9207C5D6CF2DF67A30FFB76F4ZB1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619DECB94E8982E58A886F5374D44284D9D6C0CB3D9AF7C1FA803EB3368FEA1E8AFD5400B89100429A337E4CCB2E3CB6AC31A2F50FA5C4773662DD22P3XF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AD7AA85A773033745D50AD6C8293B872C33AC5796D3DD2AADCB8FB06B85EC175542DF87500A915A4312C55C69418B93F050CFB3ACC72E0691D1CE001A1D2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2026-04-09T08:33:00Z</dcterms:created>
  <dcterms:modified xsi:type="dcterms:W3CDTF">2026-04-13T06:30:00Z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